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AED" w:rsidRPr="00CC5158" w:rsidRDefault="00C34AED" w:rsidP="00C34AED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3</w:t>
      </w:r>
      <w:r w:rsidRPr="00CC5158">
        <w:rPr>
          <w:rFonts w:ascii="Times New Roman" w:hAnsi="Times New Roman"/>
          <w:b/>
          <w:sz w:val="24"/>
          <w:szCs w:val="24"/>
        </w:rPr>
        <w:t>.  Социально-экономическая характеристика и характеристика</w:t>
      </w:r>
    </w:p>
    <w:p w:rsidR="00C34AED" w:rsidRDefault="00C34AED" w:rsidP="00C34AED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5158">
        <w:rPr>
          <w:rFonts w:ascii="Times New Roman" w:hAnsi="Times New Roman"/>
          <w:b/>
          <w:sz w:val="24"/>
          <w:szCs w:val="24"/>
        </w:rPr>
        <w:t>природопользования территории проектируемого учебно- научного стационара</w:t>
      </w:r>
    </w:p>
    <w:p w:rsidR="00C34AED" w:rsidRDefault="00C34AED" w:rsidP="00C34AE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:rsidR="00C34AED" w:rsidRDefault="00C34AED" w:rsidP="00C34AED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Территория проектируемого стационара располагается в Красночикойском районе и имеет свою восточную и часть южной границы с </w:t>
      </w:r>
      <w:proofErr w:type="spellStart"/>
      <w:r>
        <w:rPr>
          <w:rFonts w:ascii="Times New Roman" w:hAnsi="Times New Roman"/>
          <w:sz w:val="24"/>
          <w:szCs w:val="24"/>
        </w:rPr>
        <w:t>Кыринским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районом. От автомобильной дороги, соединяющей районный центр с. Красный Чикой и с. Менза территория находится не менее чем в 60 км. До ближайшего населенного пункта (с. Менза) также не менее 60-70 км</w:t>
      </w:r>
      <w:proofErr w:type="gramStart"/>
      <w:r>
        <w:rPr>
          <w:rFonts w:ascii="Times New Roman" w:hAnsi="Times New Roman"/>
          <w:sz w:val="24"/>
          <w:szCs w:val="24"/>
        </w:rPr>
        <w:t xml:space="preserve">., </w:t>
      </w:r>
      <w:proofErr w:type="gramEnd"/>
      <w:r>
        <w:rPr>
          <w:rFonts w:ascii="Times New Roman" w:hAnsi="Times New Roman"/>
          <w:sz w:val="24"/>
          <w:szCs w:val="24"/>
        </w:rPr>
        <w:t xml:space="preserve">а до районного центра в 2 раза дальше. Поэтому основные социально- экономические характеристики приведены для сферы деятельности </w:t>
      </w:r>
      <w:proofErr w:type="spellStart"/>
      <w:r>
        <w:rPr>
          <w:rFonts w:ascii="Times New Roman" w:hAnsi="Times New Roman"/>
          <w:sz w:val="24"/>
          <w:szCs w:val="24"/>
        </w:rPr>
        <w:t>Мензинского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образования, так как он имеет хотя бы косвенное влияние на территорию стационара. Собственно населенных пунктов на территории стационара нет.</w:t>
      </w:r>
    </w:p>
    <w:p w:rsidR="00C34AED" w:rsidRPr="00B14387" w:rsidRDefault="00C34AED" w:rsidP="00C34AE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B14387">
        <w:rPr>
          <w:rFonts w:ascii="Times New Roman" w:hAnsi="Times New Roman"/>
          <w:b/>
          <w:sz w:val="24"/>
          <w:szCs w:val="24"/>
        </w:rPr>
        <w:t>.1 Население</w:t>
      </w:r>
      <w:r w:rsidRPr="00B14387">
        <w:rPr>
          <w:rFonts w:ascii="Times New Roman" w:hAnsi="Times New Roman"/>
          <w:sz w:val="24"/>
          <w:szCs w:val="24"/>
        </w:rPr>
        <w:t xml:space="preserve"> </w:t>
      </w:r>
    </w:p>
    <w:p w:rsidR="00C34AED" w:rsidRDefault="00C34AED" w:rsidP="00C34AED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/>
          <w:sz w:val="24"/>
          <w:szCs w:val="24"/>
        </w:rPr>
        <w:t>Мензинское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муниципальное образование (МО) входят три села: Менза, </w:t>
      </w:r>
      <w:proofErr w:type="spellStart"/>
      <w:r>
        <w:rPr>
          <w:rFonts w:ascii="Times New Roman" w:hAnsi="Times New Roman"/>
          <w:sz w:val="24"/>
          <w:szCs w:val="24"/>
        </w:rPr>
        <w:t>Укыр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Шонуй</w:t>
      </w:r>
      <w:proofErr w:type="spellEnd"/>
      <w:r>
        <w:rPr>
          <w:rFonts w:ascii="Times New Roman" w:hAnsi="Times New Roman"/>
          <w:sz w:val="24"/>
          <w:szCs w:val="24"/>
        </w:rPr>
        <w:t xml:space="preserve"> с общей численностью населения на 01.01.2015 г 647 человек (Менза- 318, </w:t>
      </w:r>
      <w:proofErr w:type="spellStart"/>
      <w:r>
        <w:rPr>
          <w:rFonts w:ascii="Times New Roman" w:hAnsi="Times New Roman"/>
          <w:sz w:val="24"/>
          <w:szCs w:val="24"/>
        </w:rPr>
        <w:t>Укыр</w:t>
      </w:r>
      <w:proofErr w:type="spellEnd"/>
      <w:r>
        <w:rPr>
          <w:rFonts w:ascii="Times New Roman" w:hAnsi="Times New Roman"/>
          <w:sz w:val="24"/>
          <w:szCs w:val="24"/>
        </w:rPr>
        <w:t xml:space="preserve">- 263, </w:t>
      </w:r>
      <w:proofErr w:type="spellStart"/>
      <w:r>
        <w:rPr>
          <w:rFonts w:ascii="Times New Roman" w:hAnsi="Times New Roman"/>
          <w:sz w:val="24"/>
          <w:szCs w:val="24"/>
        </w:rPr>
        <w:t>Шонуй</w:t>
      </w:r>
      <w:proofErr w:type="spellEnd"/>
      <w:r>
        <w:rPr>
          <w:rFonts w:ascii="Times New Roman" w:hAnsi="Times New Roman"/>
          <w:sz w:val="24"/>
          <w:szCs w:val="24"/>
        </w:rPr>
        <w:t xml:space="preserve">- 66). Численность безработных составляет 140 человек (с. Менза- 66, с. </w:t>
      </w:r>
      <w:proofErr w:type="spellStart"/>
      <w:r>
        <w:rPr>
          <w:rFonts w:ascii="Times New Roman" w:hAnsi="Times New Roman"/>
          <w:sz w:val="24"/>
          <w:szCs w:val="24"/>
        </w:rPr>
        <w:t>Укыр</w:t>
      </w:r>
      <w:proofErr w:type="spellEnd"/>
      <w:r>
        <w:rPr>
          <w:rFonts w:ascii="Times New Roman" w:hAnsi="Times New Roman"/>
          <w:sz w:val="24"/>
          <w:szCs w:val="24"/>
        </w:rPr>
        <w:t xml:space="preserve">- 54, с. </w:t>
      </w:r>
      <w:proofErr w:type="spellStart"/>
      <w:r>
        <w:rPr>
          <w:rFonts w:ascii="Times New Roman" w:hAnsi="Times New Roman"/>
          <w:sz w:val="24"/>
          <w:szCs w:val="24"/>
        </w:rPr>
        <w:t>Шонуй</w:t>
      </w:r>
      <w:proofErr w:type="spellEnd"/>
      <w:r>
        <w:rPr>
          <w:rFonts w:ascii="Times New Roman" w:hAnsi="Times New Roman"/>
          <w:sz w:val="24"/>
          <w:szCs w:val="24"/>
        </w:rPr>
        <w:t>- 20). При этом зарегистрированных безработных нет.</w:t>
      </w:r>
    </w:p>
    <w:p w:rsidR="00C34AED" w:rsidRDefault="00C34AED" w:rsidP="00C34AE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C93C6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AED" w:rsidRDefault="00C34AED" w:rsidP="00C34AE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24. Село Менза</w:t>
      </w:r>
    </w:p>
    <w:p w:rsidR="00C34AED" w:rsidRDefault="00C34AED" w:rsidP="00C34AE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:rsidR="00C34AED" w:rsidRPr="00B14387" w:rsidRDefault="00C34AED" w:rsidP="00C34AE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B14387">
        <w:rPr>
          <w:rFonts w:ascii="Times New Roman" w:hAnsi="Times New Roman"/>
          <w:b/>
          <w:sz w:val="24"/>
          <w:szCs w:val="24"/>
        </w:rPr>
        <w:t>.2 Транспортная освоенность</w:t>
      </w:r>
      <w:r w:rsidRPr="00B14387">
        <w:rPr>
          <w:rFonts w:ascii="Times New Roman" w:hAnsi="Times New Roman"/>
          <w:sz w:val="24"/>
          <w:szCs w:val="24"/>
        </w:rPr>
        <w:t xml:space="preserve"> </w:t>
      </w:r>
    </w:p>
    <w:p w:rsidR="00C34AED" w:rsidRDefault="00C34AED" w:rsidP="00C34AED">
      <w:pPr>
        <w:pStyle w:val="a3"/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Территория МО связана с районным центром автомобильной дорогой, проложенной по таежным хребтам длиной до 180-200 км. В зимний период прокладывается дорога по льду реки Менза. Три села соединяются 30 километровым конечным участком этой дороги с 2 мостами через р. Менза. На территории МО имеются местные проселочные дороги «до покосов». </w:t>
      </w:r>
      <w:r w:rsidRPr="009F0B6D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C34AED" w:rsidRDefault="00C34AED" w:rsidP="00C34AED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C93C6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2314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а  </w:t>
      </w:r>
      <w:r w:rsidRPr="00C93C6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2314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б</w:t>
      </w:r>
    </w:p>
    <w:p w:rsidR="00C34AED" w:rsidRPr="00BE16CE" w:rsidRDefault="00C34AED" w:rsidP="00C34AED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25. Зимняя дорога по льду р. Менза (а) и летняя дорога по горам (б) в с. Менза</w:t>
      </w:r>
    </w:p>
    <w:p w:rsidR="00C34AED" w:rsidRPr="00B14387" w:rsidRDefault="00C34AED" w:rsidP="00C34AE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B14387">
        <w:rPr>
          <w:rFonts w:ascii="Times New Roman" w:hAnsi="Times New Roman"/>
          <w:b/>
          <w:sz w:val="24"/>
          <w:szCs w:val="24"/>
        </w:rPr>
        <w:t>.3 Хозяйственная освоенность</w:t>
      </w:r>
    </w:p>
    <w:p w:rsidR="00C34AED" w:rsidRDefault="00C34AED" w:rsidP="00D60B0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Оторванность населенных пунктов муниципального образования «</w:t>
      </w:r>
      <w:proofErr w:type="spellStart"/>
      <w:r>
        <w:rPr>
          <w:rFonts w:ascii="Times New Roman" w:hAnsi="Times New Roman"/>
          <w:sz w:val="24"/>
          <w:szCs w:val="24"/>
        </w:rPr>
        <w:t>Мензинское</w:t>
      </w:r>
      <w:proofErr w:type="spellEnd"/>
      <w:r>
        <w:rPr>
          <w:rFonts w:ascii="Times New Roman" w:hAnsi="Times New Roman"/>
          <w:sz w:val="24"/>
          <w:szCs w:val="24"/>
        </w:rPr>
        <w:t>» накладывает свой отпечаток на жизнь местных людей. Ранее «градообразующее» сельхозпредприятие, в котором работало до 130 человек, ныне существует только на бумаге. Рабочие места в селах обеспечивают школа, дом культуры, метеостанция, ФАП, предприятие «</w:t>
      </w:r>
      <w:proofErr w:type="spellStart"/>
      <w:r>
        <w:rPr>
          <w:rFonts w:ascii="Times New Roman" w:hAnsi="Times New Roman"/>
          <w:sz w:val="24"/>
          <w:szCs w:val="24"/>
        </w:rPr>
        <w:t>Строймонтаж</w:t>
      </w:r>
      <w:proofErr w:type="spellEnd"/>
      <w:r>
        <w:rPr>
          <w:rFonts w:ascii="Times New Roman" w:hAnsi="Times New Roman"/>
          <w:sz w:val="24"/>
          <w:szCs w:val="24"/>
        </w:rPr>
        <w:t>» и несколько предпринимателей (в основном торговые точки). Образ жизни людей во всех селах одинаков, поэтому мы приводим данные по занятости и составу населения с. Менза</w:t>
      </w:r>
      <w:r w:rsidR="00D60B05">
        <w:rPr>
          <w:rFonts w:ascii="Times New Roman" w:hAnsi="Times New Roman"/>
          <w:sz w:val="24"/>
          <w:szCs w:val="24"/>
        </w:rPr>
        <w:t xml:space="preserve"> (рис. 26)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C34AED" w:rsidRDefault="00C34AED" w:rsidP="00C34AE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C93C6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86450" cy="2324100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34AED" w:rsidRDefault="00C34AED" w:rsidP="00C34AE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26. Состав населения и занятость в с. Менза (%)</w:t>
      </w:r>
    </w:p>
    <w:p w:rsidR="00C34AED" w:rsidRDefault="00C34AED" w:rsidP="00C34AED">
      <w:pPr>
        <w:pStyle w:val="a3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Из рисунка видно, что устойчиво, хотя и не резко растет количество пенсионеров, а уровень безработицы синхронно следует за долей работоспособного населения в работоспособном возрасте.</w:t>
      </w:r>
    </w:p>
    <w:p w:rsidR="00C34AED" w:rsidRDefault="00C34AED" w:rsidP="00C34AED">
      <w:pPr>
        <w:pStyle w:val="a3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начало 2015 года в селе всего было 119 домохозяйств, которые мы поделили на три группы</w:t>
      </w:r>
      <w:r w:rsidR="00D60B05">
        <w:rPr>
          <w:rFonts w:ascii="Times New Roman" w:hAnsi="Times New Roman"/>
          <w:sz w:val="24"/>
          <w:szCs w:val="24"/>
        </w:rPr>
        <w:t xml:space="preserve"> (табл. 8)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92542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домохозяйства, в которых проживают только пенсионеры (35,2%), </w:t>
      </w:r>
      <w:r>
        <w:rPr>
          <w:rFonts w:ascii="Times New Roman" w:hAnsi="Times New Roman"/>
          <w:sz w:val="24"/>
          <w:szCs w:val="24"/>
          <w:lang w:val="en-US"/>
        </w:rPr>
        <w:t>II</w:t>
      </w:r>
      <w:r w:rsidRPr="00925422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в которых все взрослые члены семьи работают (18,5%), и</w:t>
      </w:r>
      <w:r w:rsidRPr="009254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 w:rsidRPr="0092542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домохозяйства в которых имеется хотя бы один безработный (40,3%). Изо всех 119 домохозяйств 95% имеют личные огороды, 68% используют сенокосные угодья, 48,7% добывают продукцию охоты и 45,3% добывают кедровые орехи. Кроме того, население заготавливает ягоды, грибы, лекарственно- техническое сырье для собственных нужд и для продажи. При этом семьи с хотя бы одним безработным в большей степени используют природные ресурсы.</w:t>
      </w:r>
    </w:p>
    <w:p w:rsidR="00C34AED" w:rsidRDefault="00C34AED" w:rsidP="00C34AED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 8</w:t>
      </w:r>
    </w:p>
    <w:p w:rsidR="00C34AED" w:rsidRDefault="00C34AED" w:rsidP="00C34AED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Значение разных групп домохозяйств в использовании природных ресурсов (%)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08"/>
        <w:gridCol w:w="1783"/>
        <w:gridCol w:w="1800"/>
        <w:gridCol w:w="1816"/>
        <w:gridCol w:w="1764"/>
      </w:tblGrid>
      <w:tr w:rsidR="00C34AED" w:rsidRPr="00CB629E" w:rsidTr="00221D9A">
        <w:tc>
          <w:tcPr>
            <w:tcW w:w="1914" w:type="dxa"/>
          </w:tcPr>
          <w:p w:rsidR="00C34AED" w:rsidRPr="00D60B05" w:rsidRDefault="00C34AED" w:rsidP="00D60B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B05">
              <w:rPr>
                <w:rFonts w:ascii="Times New Roman" w:hAnsi="Times New Roman"/>
                <w:sz w:val="24"/>
                <w:szCs w:val="24"/>
              </w:rPr>
              <w:t>Виды деятельности\группы хозяйств</w:t>
            </w:r>
          </w:p>
        </w:tc>
        <w:tc>
          <w:tcPr>
            <w:tcW w:w="1914" w:type="dxa"/>
          </w:tcPr>
          <w:p w:rsidR="00C34AED" w:rsidRPr="00CB629E" w:rsidRDefault="00C34AED" w:rsidP="00221D9A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29E">
              <w:rPr>
                <w:rFonts w:ascii="Times New Roman" w:hAnsi="Times New Roman"/>
                <w:sz w:val="24"/>
                <w:szCs w:val="24"/>
              </w:rPr>
              <w:t>Огороды</w:t>
            </w:r>
          </w:p>
        </w:tc>
        <w:tc>
          <w:tcPr>
            <w:tcW w:w="1914" w:type="dxa"/>
          </w:tcPr>
          <w:p w:rsidR="00C34AED" w:rsidRPr="00CB629E" w:rsidRDefault="00C34AED" w:rsidP="00221D9A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29E">
              <w:rPr>
                <w:rFonts w:ascii="Times New Roman" w:hAnsi="Times New Roman"/>
                <w:sz w:val="24"/>
                <w:szCs w:val="24"/>
              </w:rPr>
              <w:t>Сенокосы</w:t>
            </w:r>
          </w:p>
        </w:tc>
        <w:tc>
          <w:tcPr>
            <w:tcW w:w="1914" w:type="dxa"/>
          </w:tcPr>
          <w:p w:rsidR="00C34AED" w:rsidRPr="00CB629E" w:rsidRDefault="00C34AED" w:rsidP="00D60B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29E">
              <w:rPr>
                <w:rFonts w:ascii="Times New Roman" w:hAnsi="Times New Roman"/>
                <w:sz w:val="24"/>
                <w:szCs w:val="24"/>
              </w:rPr>
              <w:t>Добыча продукции охоты</w:t>
            </w:r>
          </w:p>
        </w:tc>
        <w:tc>
          <w:tcPr>
            <w:tcW w:w="1915" w:type="dxa"/>
          </w:tcPr>
          <w:p w:rsidR="00C34AED" w:rsidRPr="00CB629E" w:rsidRDefault="00C34AED" w:rsidP="00D60B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29E">
              <w:rPr>
                <w:rFonts w:ascii="Times New Roman" w:hAnsi="Times New Roman"/>
                <w:sz w:val="24"/>
                <w:szCs w:val="24"/>
              </w:rPr>
              <w:t xml:space="preserve">Добыча </w:t>
            </w:r>
            <w:proofErr w:type="spellStart"/>
            <w:r w:rsidRPr="00CB629E">
              <w:rPr>
                <w:rFonts w:ascii="Times New Roman" w:hAnsi="Times New Roman"/>
                <w:sz w:val="24"/>
                <w:szCs w:val="24"/>
              </w:rPr>
              <w:t>кедро</w:t>
            </w:r>
            <w:proofErr w:type="spellEnd"/>
            <w:r w:rsidRPr="00CB62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B629E">
              <w:rPr>
                <w:rFonts w:ascii="Times New Roman" w:hAnsi="Times New Roman"/>
                <w:sz w:val="24"/>
                <w:szCs w:val="24"/>
              </w:rPr>
              <w:t>вого</w:t>
            </w:r>
            <w:proofErr w:type="spellEnd"/>
            <w:r w:rsidRPr="00CB629E">
              <w:rPr>
                <w:rFonts w:ascii="Times New Roman" w:hAnsi="Times New Roman"/>
                <w:sz w:val="24"/>
                <w:szCs w:val="24"/>
              </w:rPr>
              <w:t xml:space="preserve"> ореха</w:t>
            </w:r>
          </w:p>
        </w:tc>
      </w:tr>
      <w:tr w:rsidR="00C34AED" w:rsidRPr="00CB629E" w:rsidTr="00221D9A">
        <w:tc>
          <w:tcPr>
            <w:tcW w:w="1914" w:type="dxa"/>
          </w:tcPr>
          <w:p w:rsidR="00C34AED" w:rsidRPr="00CB629E" w:rsidRDefault="00C34AED" w:rsidP="00221D9A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629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914" w:type="dxa"/>
          </w:tcPr>
          <w:p w:rsidR="00C34AED" w:rsidRPr="00CB629E" w:rsidRDefault="00C34AED" w:rsidP="00221D9A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29E">
              <w:rPr>
                <w:rFonts w:ascii="Times New Roman" w:hAnsi="Times New Roman"/>
                <w:sz w:val="24"/>
                <w:szCs w:val="24"/>
              </w:rPr>
              <w:t>33,6</w:t>
            </w:r>
          </w:p>
        </w:tc>
        <w:tc>
          <w:tcPr>
            <w:tcW w:w="1914" w:type="dxa"/>
          </w:tcPr>
          <w:p w:rsidR="00C34AED" w:rsidRPr="00CB629E" w:rsidRDefault="00C34AED" w:rsidP="00221D9A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29E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1914" w:type="dxa"/>
          </w:tcPr>
          <w:p w:rsidR="00C34AED" w:rsidRPr="00CB629E" w:rsidRDefault="00C34AED" w:rsidP="00221D9A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29E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1915" w:type="dxa"/>
          </w:tcPr>
          <w:p w:rsidR="00C34AED" w:rsidRPr="00CB629E" w:rsidRDefault="00C34AED" w:rsidP="00221D9A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29E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</w:tr>
      <w:tr w:rsidR="00C34AED" w:rsidRPr="00CB629E" w:rsidTr="00221D9A">
        <w:tc>
          <w:tcPr>
            <w:tcW w:w="1914" w:type="dxa"/>
          </w:tcPr>
          <w:p w:rsidR="00C34AED" w:rsidRPr="00CB629E" w:rsidRDefault="00C34AED" w:rsidP="00221D9A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629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914" w:type="dxa"/>
          </w:tcPr>
          <w:p w:rsidR="00C34AED" w:rsidRPr="00CB629E" w:rsidRDefault="00C34AED" w:rsidP="00221D9A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29E">
              <w:rPr>
                <w:rFonts w:ascii="Times New Roman" w:hAnsi="Times New Roman"/>
                <w:sz w:val="24"/>
                <w:szCs w:val="24"/>
              </w:rPr>
              <w:t>25,7</w:t>
            </w:r>
          </w:p>
        </w:tc>
        <w:tc>
          <w:tcPr>
            <w:tcW w:w="1914" w:type="dxa"/>
          </w:tcPr>
          <w:p w:rsidR="00C34AED" w:rsidRPr="00CB629E" w:rsidRDefault="00C34AED" w:rsidP="00221D9A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29E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1914" w:type="dxa"/>
          </w:tcPr>
          <w:p w:rsidR="00C34AED" w:rsidRPr="00CB629E" w:rsidRDefault="00C34AED" w:rsidP="00221D9A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29E">
              <w:rPr>
                <w:rFonts w:ascii="Times New Roman" w:hAnsi="Times New Roman"/>
                <w:sz w:val="24"/>
                <w:szCs w:val="24"/>
              </w:rPr>
              <w:t>25,9</w:t>
            </w:r>
          </w:p>
        </w:tc>
        <w:tc>
          <w:tcPr>
            <w:tcW w:w="1915" w:type="dxa"/>
          </w:tcPr>
          <w:p w:rsidR="00C34AED" w:rsidRPr="00CB629E" w:rsidRDefault="00C34AED" w:rsidP="00221D9A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29E">
              <w:rPr>
                <w:rFonts w:ascii="Times New Roman" w:hAnsi="Times New Roman"/>
                <w:sz w:val="24"/>
                <w:szCs w:val="24"/>
              </w:rPr>
              <w:t>29,3</w:t>
            </w:r>
          </w:p>
        </w:tc>
      </w:tr>
      <w:tr w:rsidR="00C34AED" w:rsidRPr="00CB629E" w:rsidTr="00221D9A">
        <w:tc>
          <w:tcPr>
            <w:tcW w:w="1914" w:type="dxa"/>
          </w:tcPr>
          <w:p w:rsidR="00C34AED" w:rsidRPr="00CB629E" w:rsidRDefault="00C34AED" w:rsidP="00221D9A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629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914" w:type="dxa"/>
          </w:tcPr>
          <w:p w:rsidR="00C34AED" w:rsidRPr="00CB629E" w:rsidRDefault="00C34AED" w:rsidP="00221D9A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29E">
              <w:rPr>
                <w:rFonts w:ascii="Times New Roman" w:hAnsi="Times New Roman"/>
                <w:sz w:val="24"/>
                <w:szCs w:val="24"/>
              </w:rPr>
              <w:t>40,7</w:t>
            </w:r>
          </w:p>
        </w:tc>
        <w:tc>
          <w:tcPr>
            <w:tcW w:w="1914" w:type="dxa"/>
          </w:tcPr>
          <w:p w:rsidR="00C34AED" w:rsidRPr="00CB629E" w:rsidRDefault="00C34AED" w:rsidP="00221D9A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29E">
              <w:rPr>
                <w:rFonts w:ascii="Times New Roman" w:hAnsi="Times New Roman"/>
                <w:sz w:val="24"/>
                <w:szCs w:val="24"/>
              </w:rPr>
              <w:t>49,4</w:t>
            </w:r>
          </w:p>
        </w:tc>
        <w:tc>
          <w:tcPr>
            <w:tcW w:w="1914" w:type="dxa"/>
          </w:tcPr>
          <w:p w:rsidR="00C34AED" w:rsidRPr="00CB629E" w:rsidRDefault="00C34AED" w:rsidP="00221D9A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29E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1915" w:type="dxa"/>
          </w:tcPr>
          <w:p w:rsidR="00C34AED" w:rsidRPr="00CB629E" w:rsidRDefault="00C34AED" w:rsidP="00221D9A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29E">
              <w:rPr>
                <w:rFonts w:ascii="Times New Roman" w:hAnsi="Times New Roman"/>
                <w:sz w:val="24"/>
                <w:szCs w:val="24"/>
              </w:rPr>
              <w:t>65,5</w:t>
            </w:r>
          </w:p>
        </w:tc>
      </w:tr>
      <w:tr w:rsidR="00C34AED" w:rsidRPr="00CB629E" w:rsidTr="00221D9A">
        <w:tc>
          <w:tcPr>
            <w:tcW w:w="1914" w:type="dxa"/>
          </w:tcPr>
          <w:p w:rsidR="00C34AED" w:rsidRPr="00CB629E" w:rsidRDefault="00C34AED" w:rsidP="00221D9A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29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914" w:type="dxa"/>
          </w:tcPr>
          <w:p w:rsidR="00C34AED" w:rsidRPr="00CB629E" w:rsidRDefault="00C34AED" w:rsidP="00221D9A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29E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914" w:type="dxa"/>
          </w:tcPr>
          <w:p w:rsidR="00C34AED" w:rsidRPr="00CB629E" w:rsidRDefault="00C34AED" w:rsidP="00221D9A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29E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914" w:type="dxa"/>
          </w:tcPr>
          <w:p w:rsidR="00C34AED" w:rsidRPr="00CB629E" w:rsidRDefault="00C34AED" w:rsidP="00221D9A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29E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915" w:type="dxa"/>
          </w:tcPr>
          <w:p w:rsidR="00C34AED" w:rsidRPr="00CB629E" w:rsidRDefault="00C34AED" w:rsidP="00221D9A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629E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</w:tbl>
    <w:p w:rsidR="00D60B05" w:rsidRDefault="00D60B05" w:rsidP="00C34AED">
      <w:pPr>
        <w:pStyle w:val="a3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34AED" w:rsidRDefault="00C34AED" w:rsidP="00C34AED">
      <w:pPr>
        <w:pStyle w:val="a3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2011 по 2014 годы наблюдались отличный и хорошие урожаи кедровых семян, что позволило населению района использовать эту ситуацию для пополнения бюджета домохозяйств. За эти годы жителями с. Менза было приобретено значительное количество техники для работы: трактора с различным навесным оборудованием, грузовой и легковой транспорт, мотоциклы. И в настоящее время в селе имеется во владении домохозяйств 37 тракторов (в основном мини-), 52 легковых автомобиля (типа УАЗ, «Нива», «Москвич» и «Жигули»), 23 грузовых автомобиля, 90 разных мотоциклов. Однако эти факты проходят мимо внимания администрации муниципального образования, хотя появилась возможность начать работу с населением по повышению производства сельхозпродукции в районе и её переработки. </w:t>
      </w:r>
    </w:p>
    <w:p w:rsidR="00C34AED" w:rsidRDefault="00C34AED" w:rsidP="00C34AED">
      <w:pPr>
        <w:pStyle w:val="a3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Кроме того, многими улучшены жилищные условия, приобретена новая современная бытовая техника и т.д.</w:t>
      </w:r>
    </w:p>
    <w:p w:rsidR="00C34AED" w:rsidRDefault="00C34AED" w:rsidP="00C34AED">
      <w:pPr>
        <w:pStyle w:val="a3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Использование природных ресурсов позволяет более надежно чувствовать себя в финансовом плане, люди не боялись брать кредиты в банках, уверенные, что смогут </w:t>
      </w:r>
      <w:r>
        <w:rPr>
          <w:rFonts w:ascii="Times New Roman" w:hAnsi="Times New Roman"/>
          <w:sz w:val="24"/>
          <w:szCs w:val="24"/>
        </w:rPr>
        <w:lastRenderedPageBreak/>
        <w:t xml:space="preserve">выполнить условия займа. Это отличает сельских жителей </w:t>
      </w:r>
      <w:proofErr w:type="spellStart"/>
      <w:r>
        <w:rPr>
          <w:rFonts w:ascii="Times New Roman" w:hAnsi="Times New Roman"/>
          <w:sz w:val="24"/>
          <w:szCs w:val="24"/>
        </w:rPr>
        <w:t>Красночикойского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от, например жителей удмуртских деревень, которые считают для себя «невозможным», «неразумным» желание брать взаймы. </w:t>
      </w:r>
    </w:p>
    <w:p w:rsidR="00C34AED" w:rsidRDefault="00C34AED" w:rsidP="00C34AED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Ввиду отдаленности стационара от населенных пунктов и наличия природных ресурсов на более близком от них расстоянии, его территория не испытывает сколько- </w:t>
      </w:r>
      <w:proofErr w:type="spellStart"/>
      <w:r>
        <w:rPr>
          <w:rFonts w:ascii="Times New Roman" w:hAnsi="Times New Roman"/>
          <w:sz w:val="24"/>
          <w:szCs w:val="24"/>
        </w:rPr>
        <w:t>нибудь</w:t>
      </w:r>
      <w:proofErr w:type="spellEnd"/>
      <w:r>
        <w:rPr>
          <w:rFonts w:ascii="Times New Roman" w:hAnsi="Times New Roman"/>
          <w:sz w:val="24"/>
          <w:szCs w:val="24"/>
        </w:rPr>
        <w:t xml:space="preserve"> заметного неконтролируемого влияния на растительный и животный мир. Конфликта интересов с местным населением не ожидается.</w:t>
      </w:r>
    </w:p>
    <w:p w:rsidR="00C34AED" w:rsidRPr="004C2BA4" w:rsidRDefault="00C34AED" w:rsidP="00C34AED">
      <w:pPr>
        <w:pStyle w:val="a3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настоящее время на территории будущего стационара зарегистрирован один охотпользователь с Долгосрочной лицензией на право пользования животным миром сроком до 2035 г. </w:t>
      </w:r>
    </w:p>
    <w:p w:rsidR="00A561A1" w:rsidRDefault="00A561A1" w:rsidP="00C34AED">
      <w:pPr>
        <w:jc w:val="both"/>
      </w:pPr>
    </w:p>
    <w:sectPr w:rsidR="00A561A1" w:rsidSect="007D7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7EF6"/>
    <w:rsid w:val="002C5672"/>
    <w:rsid w:val="006276D2"/>
    <w:rsid w:val="0075391B"/>
    <w:rsid w:val="007D7132"/>
    <w:rsid w:val="008F7584"/>
    <w:rsid w:val="009C09D0"/>
    <w:rsid w:val="00A561A1"/>
    <w:rsid w:val="00C06178"/>
    <w:rsid w:val="00C34AED"/>
    <w:rsid w:val="00CA5B41"/>
    <w:rsid w:val="00D60B05"/>
    <w:rsid w:val="00FA75D3"/>
    <w:rsid w:val="00FB7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AE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4AE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8;&#1055;&#1056;&#1069;&#1050;\&#1089;&#1090;&#1072;&#1090;&#1100;&#1080;\&#1089;&#1090;&#1072;&#1090;&#1100;&#1103;%20&#1091;&#1088;&#1072;&#1085;%20&#1080;%20&#1087;&#1088;\&#1085;&#1072;&#1089;&#1077;&#1083;&#1077;&#1085;&#1080;&#1077;%20&#1089;.%20&#1052;&#1077;&#1085;&#1079;&#1072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autoTitleDeleted val="1"/>
    <c:plotArea>
      <c:layout>
        <c:manualLayout>
          <c:layoutTarget val="inner"/>
          <c:xMode val="edge"/>
          <c:yMode val="edge"/>
          <c:x val="5.9362186581516152E-2"/>
          <c:y val="5.1400554097404488E-2"/>
          <c:w val="0.90965186811326004"/>
          <c:h val="0.7211245990084576"/>
        </c:manualLayout>
      </c:layout>
      <c:scatterChart>
        <c:scatterStyle val="lineMarker"/>
        <c:varyColors val="1"/>
        <c:ser>
          <c:idx val="0"/>
          <c:order val="0"/>
          <c:tx>
            <c:strRef>
              <c:f>Лист2!$A$175</c:f>
              <c:strCache>
                <c:ptCount val="1"/>
                <c:pt idx="0">
                  <c:v>трудоспос</c:v>
                </c:pt>
              </c:strCache>
            </c:strRef>
          </c:tx>
          <c:marker>
            <c:symbol val="none"/>
          </c:marker>
          <c:xVal>
            <c:numRef>
              <c:f>Лист2!$C$174:$K$174</c:f>
              <c:numCache>
                <c:formatCode>General</c:formatCode>
                <c:ptCount val="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</c:numCache>
            </c:numRef>
          </c:xVal>
          <c:yVal>
            <c:numRef>
              <c:f>Лист2!$C$175:$K$175</c:f>
              <c:numCache>
                <c:formatCode>General</c:formatCode>
                <c:ptCount val="9"/>
                <c:pt idx="0">
                  <c:v>55.8</c:v>
                </c:pt>
                <c:pt idx="1">
                  <c:v>56</c:v>
                </c:pt>
                <c:pt idx="2">
                  <c:v>55.3</c:v>
                </c:pt>
                <c:pt idx="3">
                  <c:v>55.4</c:v>
                </c:pt>
                <c:pt idx="4">
                  <c:v>53.6</c:v>
                </c:pt>
                <c:pt idx="5">
                  <c:v>50.9</c:v>
                </c:pt>
                <c:pt idx="6">
                  <c:v>48.6</c:v>
                </c:pt>
                <c:pt idx="7">
                  <c:v>46.9</c:v>
                </c:pt>
                <c:pt idx="8">
                  <c:v>49.3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Лист2!$A$176</c:f>
              <c:strCache>
                <c:ptCount val="1"/>
                <c:pt idx="0">
                  <c:v>пенсион</c:v>
                </c:pt>
              </c:strCache>
            </c:strRef>
          </c:tx>
          <c:marker>
            <c:symbol val="none"/>
          </c:marker>
          <c:xVal>
            <c:numRef>
              <c:f>Лист2!$C$174:$K$174</c:f>
              <c:numCache>
                <c:formatCode>General</c:formatCode>
                <c:ptCount val="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</c:numCache>
            </c:numRef>
          </c:xVal>
          <c:yVal>
            <c:numRef>
              <c:f>Лист2!$C$176:$K$176</c:f>
              <c:numCache>
                <c:formatCode>General</c:formatCode>
                <c:ptCount val="9"/>
                <c:pt idx="0">
                  <c:v>22.2</c:v>
                </c:pt>
                <c:pt idx="1">
                  <c:v>22</c:v>
                </c:pt>
                <c:pt idx="2">
                  <c:v>21.5</c:v>
                </c:pt>
                <c:pt idx="3">
                  <c:v>22.7</c:v>
                </c:pt>
                <c:pt idx="4">
                  <c:v>25.9</c:v>
                </c:pt>
                <c:pt idx="5">
                  <c:v>26.8</c:v>
                </c:pt>
                <c:pt idx="6">
                  <c:v>29.7</c:v>
                </c:pt>
                <c:pt idx="7">
                  <c:v>31.5</c:v>
                </c:pt>
                <c:pt idx="8">
                  <c:v>33.5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Лист2!$A$177</c:f>
              <c:strCache>
                <c:ptCount val="1"/>
                <c:pt idx="0">
                  <c:v>дети</c:v>
                </c:pt>
              </c:strCache>
            </c:strRef>
          </c:tx>
          <c:marker>
            <c:symbol val="none"/>
          </c:marker>
          <c:xVal>
            <c:numRef>
              <c:f>Лист2!$C$174:$K$174</c:f>
              <c:numCache>
                <c:formatCode>General</c:formatCode>
                <c:ptCount val="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</c:numCache>
            </c:numRef>
          </c:xVal>
          <c:yVal>
            <c:numRef>
              <c:f>Лист2!$C$177:$K$177</c:f>
              <c:numCache>
                <c:formatCode>General</c:formatCode>
                <c:ptCount val="9"/>
                <c:pt idx="0">
                  <c:v>22</c:v>
                </c:pt>
                <c:pt idx="1">
                  <c:v>22</c:v>
                </c:pt>
                <c:pt idx="2">
                  <c:v>23.2</c:v>
                </c:pt>
                <c:pt idx="3">
                  <c:v>21.9</c:v>
                </c:pt>
                <c:pt idx="4">
                  <c:v>20.5</c:v>
                </c:pt>
                <c:pt idx="5">
                  <c:v>22.3</c:v>
                </c:pt>
                <c:pt idx="6">
                  <c:v>22</c:v>
                </c:pt>
                <c:pt idx="7">
                  <c:v>21.6</c:v>
                </c:pt>
                <c:pt idx="8">
                  <c:v>17.2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Лист2!$A$178</c:f>
              <c:strCache>
                <c:ptCount val="1"/>
                <c:pt idx="0">
                  <c:v>безработные</c:v>
                </c:pt>
              </c:strCache>
            </c:strRef>
          </c:tx>
          <c:marker>
            <c:symbol val="none"/>
          </c:marker>
          <c:xVal>
            <c:numRef>
              <c:f>Лист2!$C$174:$K$174</c:f>
              <c:numCache>
                <c:formatCode>General</c:formatCode>
                <c:ptCount val="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</c:numCache>
            </c:numRef>
          </c:xVal>
          <c:yVal>
            <c:numRef>
              <c:f>Лист2!$C$178:$K$178</c:f>
              <c:numCache>
                <c:formatCode>General</c:formatCode>
                <c:ptCount val="9"/>
                <c:pt idx="0">
                  <c:v>39.4</c:v>
                </c:pt>
                <c:pt idx="1">
                  <c:v>39</c:v>
                </c:pt>
                <c:pt idx="2">
                  <c:v>39.300000000000011</c:v>
                </c:pt>
                <c:pt idx="3">
                  <c:v>46.2</c:v>
                </c:pt>
                <c:pt idx="4">
                  <c:v>38.300000000000011</c:v>
                </c:pt>
                <c:pt idx="5">
                  <c:v>38.5</c:v>
                </c:pt>
                <c:pt idx="6">
                  <c:v>36.200000000000003</c:v>
                </c:pt>
                <c:pt idx="7">
                  <c:v>34.300000000000011</c:v>
                </c:pt>
                <c:pt idx="8">
                  <c:v>41.4</c:v>
                </c:pt>
              </c:numCache>
            </c:numRef>
          </c:yVal>
          <c:smooth val="1"/>
        </c:ser>
        <c:axId val="75722112"/>
        <c:axId val="83821696"/>
      </c:scatterChart>
      <c:valAx>
        <c:axId val="75722112"/>
        <c:scaling>
          <c:orientation val="minMax"/>
          <c:max val="2015"/>
          <c:min val="2007"/>
        </c:scaling>
        <c:delete val="1"/>
        <c:axPos val="b"/>
        <c:numFmt formatCode="General" sourceLinked="1"/>
        <c:majorTickMark val="cross"/>
        <c:minorTickMark val="cross"/>
        <c:tickLblPos val="none"/>
        <c:crossAx val="83821696"/>
        <c:crosses val="autoZero"/>
        <c:crossBetween val="midCat"/>
      </c:valAx>
      <c:valAx>
        <c:axId val="83821696"/>
        <c:scaling>
          <c:orientation val="minMax"/>
        </c:scaling>
        <c:delete val="1"/>
        <c:axPos val="l"/>
        <c:majorGridlines>
          <c:spPr>
            <a:ln w="0">
              <a:solidFill>
                <a:schemeClr val="tx1"/>
              </a:solidFill>
            </a:ln>
          </c:spPr>
        </c:majorGridlines>
        <c:numFmt formatCode="@" sourceLinked="0"/>
        <c:majorTickMark val="cross"/>
        <c:minorTickMark val="cross"/>
        <c:tickLblPos val="none"/>
        <c:crossAx val="75722112"/>
        <c:crossesAt val="2007"/>
        <c:crossBetween val="midCat"/>
      </c:valAx>
    </c:plotArea>
    <c:legend>
      <c:legendPos val="b"/>
      <c:overlay val="1"/>
    </c:legend>
    <c:plotVisOnly val="1"/>
    <c:dispBlanksAs val="zero"/>
    <c:showDLblsOverMax val="1"/>
  </c:chart>
  <c:externalData r:id="rId1">
    <c:autoUpdate val="1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742</Words>
  <Characters>4232</Characters>
  <Application>Microsoft Office Word</Application>
  <DocSecurity>0</DocSecurity>
  <Lines>35</Lines>
  <Paragraphs>9</Paragraphs>
  <ScaleCrop>false</ScaleCrop>
  <Company/>
  <LinksUpToDate>false</LinksUpToDate>
  <CharactersWithSpaces>4965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Бутько Елена Викторовна</dc:creator>
  <cp:keywords/>
  <dc:description/>
  <cp:lastModifiedBy>Гена</cp:lastModifiedBy>
  <cp:revision>11</cp:revision>
  <dcterms:created xsi:type="dcterms:W3CDTF">2015-12-15T05:41:00Z</dcterms:created>
  <dcterms:modified xsi:type="dcterms:W3CDTF">2017-03-31T03:50:00Z</dcterms:modified>
</cp:coreProperties>
</file>